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0" w:type="pct"/>
        <w:tblInd w:w="108" w:type="dxa"/>
        <w:tblLook w:val="04A0"/>
      </w:tblPr>
      <w:tblGrid>
        <w:gridCol w:w="702"/>
        <w:gridCol w:w="2419"/>
        <w:gridCol w:w="1370"/>
        <w:gridCol w:w="4737"/>
        <w:gridCol w:w="1652"/>
      </w:tblGrid>
      <w:tr w:rsidR="00990C61" w:rsidRPr="00990C61" w:rsidTr="00990C61">
        <w:trPr>
          <w:trHeight w:val="255"/>
        </w:trPr>
        <w:tc>
          <w:tcPr>
            <w:tcW w:w="776" w:type="dxa"/>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Level</w:t>
            </w:r>
          </w:p>
        </w:tc>
        <w:tc>
          <w:tcPr>
            <w:tcW w:w="2756" w:type="dxa"/>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p>
        </w:tc>
        <w:tc>
          <w:tcPr>
            <w:tcW w:w="6976"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Kabupaten Tanjung Jabung Barat</w:t>
            </w:r>
          </w:p>
        </w:tc>
        <w:tc>
          <w:tcPr>
            <w:tcW w:w="1872" w:type="dxa"/>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255"/>
        </w:trPr>
        <w:tc>
          <w:tcPr>
            <w:tcW w:w="3532"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Komponen</w:t>
            </w:r>
          </w:p>
        </w:tc>
        <w:tc>
          <w:tcPr>
            <w:tcW w:w="6976"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A. Hukum dan Kebijakan</w:t>
            </w:r>
          </w:p>
        </w:tc>
        <w:tc>
          <w:tcPr>
            <w:tcW w:w="1872" w:type="dxa"/>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255"/>
        </w:trPr>
        <w:tc>
          <w:tcPr>
            <w:tcW w:w="776" w:type="dxa"/>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56" w:type="dxa"/>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7" w:type="dxa"/>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9" w:type="dxa"/>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872" w:type="dxa"/>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255"/>
        </w:trPr>
        <w:tc>
          <w:tcPr>
            <w:tcW w:w="3532"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Isu dalam PGA REDD+</w:t>
            </w:r>
          </w:p>
        </w:tc>
        <w:tc>
          <w:tcPr>
            <w:tcW w:w="6976"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I. Perencanaan Kehutanan dan Tata Ruang </w:t>
            </w:r>
          </w:p>
        </w:tc>
        <w:tc>
          <w:tcPr>
            <w:tcW w:w="1872" w:type="dxa"/>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720"/>
        </w:trPr>
        <w:tc>
          <w:tcPr>
            <w:tcW w:w="3532"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48" w:type="dxa"/>
            <w:gridSpan w:val="3"/>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990C61" w:rsidRPr="00990C61" w:rsidTr="00990C61">
        <w:trPr>
          <w:trHeight w:val="975"/>
        </w:trPr>
        <w:tc>
          <w:tcPr>
            <w:tcW w:w="3532" w:type="dxa"/>
            <w:gridSpan w:val="2"/>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Objek Analisis</w:t>
            </w:r>
          </w:p>
        </w:tc>
        <w:tc>
          <w:tcPr>
            <w:tcW w:w="8848" w:type="dxa"/>
            <w:gridSpan w:val="3"/>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1250" w:type="pct"/>
        <w:tblInd w:w="103" w:type="dxa"/>
        <w:tblLook w:val="04A0"/>
      </w:tblPr>
      <w:tblGrid>
        <w:gridCol w:w="697"/>
        <w:gridCol w:w="2404"/>
        <w:gridCol w:w="1364"/>
        <w:gridCol w:w="4727"/>
        <w:gridCol w:w="1693"/>
      </w:tblGrid>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nil"/>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AIa1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Data/informasi pembuatan RTRW</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Perda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spesifik tentang informasi pembuatan RTRW. Tetapi ada Perda Tanjung Jabung Barat nomor 52 tahun 2001 berisi tentang Rencana tata ruang wilayah kabupaten tanjung jabung barat</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2</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AIa2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Informasi rencana pembentukan RTRW(P)</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Perda Tanjung Jabung Barat nomor 52 tahun 2001 tentang Rencana tata ruang wilayah kabupaten tanjung jabung barat dalam pasal 6</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2</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AIa3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Pengumuman usulan perubahan peruntukan</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pengumuman usulan perubahan peruntukan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AIa4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Kejelasan informasi  yang dapat diakses berdasarkan uji konsekuensi</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informasi yang dapat di akses berdasarkan uji konsekuensi</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6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990C61" w:rsidRPr="00990C61" w:rsidTr="00990C61">
        <w:trPr>
          <w:trHeight w:val="1035"/>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Objek Analisis</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AIb1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mekanisme pengambilan keputusan yang memudahkan keterlibatan pihak yang berkepentingan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AIb2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Petugas khusus yang bertanggung jawab mengelola masukan publik</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petugas khusus yang bertanggung jawab mengelola masukan publik</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AIb3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Dokumentasi setiap masukan (tertulis/tidak tertulis)</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dokumentasi setiap masukan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AIb4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respon terhadap masukan yang ada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mekanisme respon terhadap masukan yang ada</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AIb5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Penjelasan atas keputusan akhir yang diambil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penjelasan atas keputusan akhir yang diambil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AIb6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Pelaksanaan proses partisipasi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pelaksanaan proses partisipasi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990C61" w:rsidRPr="00990C61" w:rsidTr="00990C61">
        <w:trPr>
          <w:trHeight w:val="12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lastRenderedPageBreak/>
              <w:t>Objek Analisis</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990C61" w:rsidRPr="00990C61" w:rsidTr="00990C61">
        <w:trPr>
          <w:trHeight w:val="255"/>
        </w:trPr>
        <w:tc>
          <w:tcPr>
            <w:tcW w:w="760" w:type="dxa"/>
            <w:tcBorders>
              <w:top w:val="single" w:sz="4" w:space="0" w:color="auto"/>
              <w:left w:val="single" w:sz="4" w:space="0" w:color="auto"/>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AIc1</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program peningkatan kapasitas masyarakat adat/lokal dalam perencanaan kehutanan dan wilayah</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AIc2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program peningkatan kapasitas pemerintah dalam perencanaan kehutanan dan wilayah</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45"/>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990C61" w:rsidRPr="00990C61" w:rsidTr="00990C61">
        <w:trPr>
          <w:trHeight w:val="1005"/>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990C61" w:rsidRPr="00990C61" w:rsidTr="00990C61">
        <w:trPr>
          <w:trHeight w:val="255"/>
        </w:trPr>
        <w:tc>
          <w:tcPr>
            <w:tcW w:w="760" w:type="dxa"/>
            <w:tcBorders>
              <w:top w:val="single" w:sz="4" w:space="0" w:color="auto"/>
              <w:left w:val="single" w:sz="4" w:space="0" w:color="auto"/>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nil"/>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AId1</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mekanisme pengaduan</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58"/>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AId2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resolusi konflik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sz w:val="20"/>
                <w:szCs w:val="20"/>
                <w:lang w:eastAsia="id-ID"/>
              </w:rPr>
            </w:pPr>
            <w:r w:rsidRPr="00990C61">
              <w:rPr>
                <w:rFonts w:ascii="Times New Roman" w:eastAsia="Times New Roman" w:hAnsi="Times New Roman" w:cs="Times New Roman"/>
                <w:sz w:val="20"/>
                <w:szCs w:val="20"/>
                <w:lang w:eastAsia="id-ID"/>
              </w:rPr>
              <w:t>Tidak ada aturandi yang terkait dengan mekanisme resolusi konflik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AId3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Keahlian &amp; pemahaman mediator tentang isu-isu masyarakat adat/lokal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didalam Perda yang terkait dengan keahlian dan pemahaman mediator tentang isu-isu masyarakat adat/lokal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3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II.Pengaturan Hak</w:t>
            </w: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990C61" w:rsidRPr="00990C61" w:rsidTr="00990C61">
        <w:trPr>
          <w:trHeight w:val="6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AIIa1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Ketersediaan seluruh informasi secara sistematis sehingga mudah diakses</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ketersediaan seluruh informasi secara sistematis sehingga mudah diakses</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AIIa2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memiliki petugas khusus yang menangani permintaan informasi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kewajiban memiliki petugas khusus yang menangani permintaan informasi didalam</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AIIa3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mengenai kewajiban pemberian akses bagi publik baik secara proaktif maupun berdasarkan permintaan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AIIa4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informasi yang diumumkan tentang rencana kegiatan/proyek yang disertai dengan dokumen pendukungnya.</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AIIa5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batasan atas informasi yang dapat diakses diatur dengan jelas dan didasarkan pada kepentingan publik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AIIa6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sanksi bagi pihak-pihak yang sengaja menghambat akses publik atas informasi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UU, Permenhut, Perda</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AIIb1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Didalam Perda No.52 th.2001 di jelaskan mengenai Hak,Kewajiban ,peran serta masyarakat di dalam pasal 21 sampai 30 hanya tidak di jelaskan mengenai pola dan struktur nya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2</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AIIb2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mendapatkan izin pengelolaan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Didalam Perda No.52 th.2001 di jelaskan mengenai Hak,Kewajiban ,peran serta masyarakat di dalam pasal 21 sampai 30 hanya tidak di jelaskan mengenai pola dan struktur nya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2</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AIIb3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Keuntungan bagi masyarakat Adat/Lokal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dijelaskan mengenai keuntungan bagi masyarakat adat di dalm Perda No.52 th.2001</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UU, Permenhut, Perda</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AIIc1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mengenai sanksi/ancaman hukum bagi yang melakukan perambahan (diatas lahan hak orang lain)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AIIc2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sanksi/ancaman hukum bagi pejabat pemberi izin diatas lahan yang telah memiliki hak)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AIIc3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Ganti rugi bagi pemegang hak yang dirugikan (mudah &amp; memadai)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ganti rugi bagi pemegang hak yang dirugikan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lastRenderedPageBreak/>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UU, Permenhut, Perda</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AIId1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program peningkatan kapasitas masyarakat adat/lokal untuk mengakses hak pengelolaan hutan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AIId2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peningkatan kapasitas pemerintah (pada tingkatan) lebih rendah</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mengenai program peningkatan kapasitas pemerintah pada tingkatan lebih rendah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AIId3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mengakses anggaran peningkatan kapasitas bagi masyarakat Adat/Lokal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mengenai program peningkatan kapasitas pemerintah pada tingkatan lebih rendah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AIId4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mengenai program peningkatan kapasitas masyarakat dan pemda secara partisipatif.</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3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III. Pengorganisasian Hutan</w:t>
            </w: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UU, Permenhut</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AIIIa1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Kejelasan tugas &amp; wewenang pengelolaan hutan &amp; lahan gambut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Mengenai dokumen terkait pemanfaatan wilayah terdapat dalam Perda pasal 17 sampai 30..hanya saja tidak di perjelas mengenai tugas dan wewenang secara detail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2</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AIIIa2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Transparansi output tahunan dan capaian institusi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menjelaskan tentang transparansi output tahunan dan capaian institusi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AIIIa3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Anggaran berbasis kinerja (Budget based on performance)</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lokal yang menjelaskan tentang anggaran berbasis kinerja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AIIIa4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(aturan lokal) yang menerangkan tentang desentralisasi ke tingkat yang lebih rendah</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:(permenkum-ham) Cek dibiro hukum prov/kab</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AIIIb1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Kejelasan lembaga yang bertanggung jawab</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Mengenai dokumen terkait pemanfaatan wilayah terdapat dalam Perda pasal 17 sampai 30..hanya saja tidak di perjelas mengenai tugas dan wewenang secara detail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2</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AIIIb2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harmonisasi aturan sebelum diundangkan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tentang mekanisme harmonisasi aturan sebelum diundangkan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permenpan/SK Gub/Bup/Inpres</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AIIIc1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Keterbukaan proses pengisian posisi strategis</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keterbukaan proses pengisian strategis</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AIIIc2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Penilaian pihak ketiga (independen) dalam proses pemilihan SDM</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penilaian pihak ketiga (independen) dalam proses pemilihan SDM</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AIIIc3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Life Style Checking dan kewajaran harta dengan bantuan PPATK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AIIIc4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verifikasi LHKPN dengan bantuan KPK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kewajiban verifikasi KHKPN dengan bantuan KPK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AIIIc5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Batasan Conflict of Interest &amp; mekanisme yang harus dilakukan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di dalam Perda yang terkait dengan batasan conflict of interest dan mekanisme yang harus dilakukan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AIIIc6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Pembuatan pakta integritas, pemenuhan kode etik dan kontrak kinerja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pembuatan pakta integritas, pemenuhan kode etik dan kontrak kinerja</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990C61" w:rsidRPr="00990C61" w:rsidTr="00990C61">
        <w:trPr>
          <w:trHeight w:val="6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terkait dengan aturan lain, SK kemenhut/ kejaksaan/Kehakiman/KPK/PPATK, Kemenkeu</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AIIId1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Pembenahan case manage-ment sehingga menutup celah-celah abuse of power</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pembenahan case management sehingga menutup celah-celah abuse of power</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AIIId2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Sistem pengawasan dan pen-disiplinan internal di lembaga penegak hukum</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sistem pengawasan dan pndisiplinan internal di lembaga penegak hukum</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80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AIIId3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di dalam Perda yang terkait dengan peningkatan kapasitas aparat penegak hukum terkait isu-isu pengelolaan hutan dan lahan gambut secara lestari, kebijakan negara atas masyarakat adat, serta pemanfaatan instrumen hukum lain seperti pajak, korupsi, dan anti pencucian uang untuk memberantas kejahatan kehutanan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AIIId4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kewajiban koordinasi yang efektif antar aparat penegak hukum terkait dalam isu hutan dan lahan gambut dan penunjukkan leading sector yang jelas</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AIIId5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Pemenuhan rasio jumlah penegak hukum di bidang kehutanan dan lahan gambut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pemenuhan rasio jumlah penegak hukum di bidang kehutanan dan lahan gambut</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AIIId6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insentif dan disinsentif untuk mencapai penaatan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mekanisme insentif dan idsinsentif untuk mencapai penaatan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3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IV. Pengelolaan Hutan</w:t>
            </w: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AIVa1</w:t>
            </w:r>
          </w:p>
        </w:tc>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FF0000"/>
                <w:sz w:val="20"/>
                <w:szCs w:val="20"/>
                <w:lang w:eastAsia="id-ID"/>
              </w:rPr>
            </w:pPr>
            <w:r w:rsidRPr="00990C61">
              <w:rPr>
                <w:rFonts w:ascii="Times New Roman" w:eastAsia="Times New Roman" w:hAnsi="Times New Roman" w:cs="Times New Roman"/>
                <w:color w:val="FF0000"/>
                <w:sz w:val="20"/>
                <w:szCs w:val="20"/>
                <w:lang w:eastAsia="id-ID"/>
              </w:rPr>
              <w:t>Tidak ada item data dari sumber awal</w:t>
            </w:r>
          </w:p>
        </w:tc>
        <w:tc>
          <w:tcPr>
            <w:tcW w:w="154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r>
      <w:tr w:rsidR="00990C61" w:rsidRPr="00990C61" w:rsidTr="00990C61">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AIVa2</w:t>
            </w:r>
          </w:p>
        </w:tc>
        <w:tc>
          <w:tcPr>
            <w:tcW w:w="2740" w:type="dxa"/>
            <w:vMerge/>
            <w:tcBorders>
              <w:top w:val="nil"/>
              <w:left w:val="single" w:sz="4" w:space="0" w:color="auto"/>
              <w:bottom w:val="single" w:sz="4" w:space="0" w:color="000000"/>
              <w:right w:val="single" w:sz="4" w:space="0" w:color="auto"/>
            </w:tcBorders>
            <w:vAlign w:val="center"/>
            <w:hideMark/>
          </w:tcPr>
          <w:p w:rsidR="00990C61" w:rsidRPr="00990C61" w:rsidRDefault="00990C61" w:rsidP="00990C61">
            <w:pPr>
              <w:spacing w:after="0" w:line="240" w:lineRule="auto"/>
              <w:rPr>
                <w:rFonts w:ascii="Times New Roman" w:eastAsia="Times New Roman" w:hAnsi="Times New Roman" w:cs="Times New Roman"/>
                <w:color w:val="FF0000"/>
                <w:sz w:val="20"/>
                <w:szCs w:val="20"/>
                <w:lang w:eastAsia="id-ID"/>
              </w:rPr>
            </w:pPr>
          </w:p>
        </w:tc>
        <w:tc>
          <w:tcPr>
            <w:tcW w:w="154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SK Menhut/pertanian/ SK/perda-Gub/Bup</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AIVb1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mewajibkan agar badan publik memiliki petugas khusus yang menangani permintaan informasi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AIVb2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mewajibkan agar badan publik memiliki petugas khusus yang menangani permintaan informasi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AIVb3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kewajiban pemberian akses bagi publik baik secara proaktif maupun berdasarkan permintaan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AIVb4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tentang rencana kegiatan/proyek yang disertai dengan dokumen pendukungnya</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AIVb5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lokal baik itu Perda, Perbub, SK Bupati, Juklak-Juknis yang terkait dengan batasan atas informasi yang dapat diakses diatur dengan jelas dan didasarkan pada kepentingan publik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AIVb6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lokal baik itu Perda, Perbub, SK Bupati, Juklak-Juknis yang terkait dengan sanksi bagi pihak-pihak yang sengaja menghambat akses publik </w:t>
            </w:r>
            <w:r w:rsidRPr="00990C61">
              <w:rPr>
                <w:rFonts w:ascii="Times New Roman" w:eastAsia="Times New Roman" w:hAnsi="Times New Roman" w:cs="Times New Roman"/>
                <w:color w:val="000000"/>
                <w:sz w:val="20"/>
                <w:szCs w:val="20"/>
                <w:lang w:eastAsia="id-ID"/>
              </w:rPr>
              <w:lastRenderedPageBreak/>
              <w:t>atas informasi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SK Menhut/Pertanian, SK/Perda-Gub/Bup</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AIVc1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informasi rencana pemberian izin/pelaksanaan lelang kepada seluruh pihak yang memiliki hak serta pihak yang berkepentingan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AIVc2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mekanisme yang memudahkan bagi seluruh pihak yang berkepentingan untuk dapat terlibat dalam proses pengambilan keputusan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AIVc3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penunjukan satu petugas khusus yang bertanggung jawab mengelola masukan publik dalam proses pemberian izin/pelaksanaan lelang.</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AIVc4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Dokumentasi setiap masukan baik yang tertulis ataupun tidak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dokumentasi setiap masukan baik yang tertulis ataupun tidak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AIVc5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Pemberian respon yang bersifat terbuka atas setiap masukan yang ada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pemberian respon yang bersifat terbuka atas setiap masukan yang ada</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AIVc6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Pemberian penjelasan atas keputusan akhir yang diambil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didalam Perda yang terkait dengan pemberian penjelasan atas keputusan akhir yang diambil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0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AIVd1</w:t>
            </w:r>
          </w:p>
        </w:tc>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FF0000"/>
                <w:sz w:val="20"/>
                <w:szCs w:val="20"/>
                <w:lang w:eastAsia="id-ID"/>
              </w:rPr>
            </w:pPr>
            <w:r w:rsidRPr="00990C61">
              <w:rPr>
                <w:rFonts w:ascii="Times New Roman" w:eastAsia="Times New Roman" w:hAnsi="Times New Roman" w:cs="Times New Roman"/>
                <w:color w:val="FF0000"/>
                <w:sz w:val="20"/>
                <w:szCs w:val="20"/>
                <w:lang w:eastAsia="id-ID"/>
              </w:rPr>
              <w:t>Tidak ada item data dari sumber awal</w:t>
            </w:r>
          </w:p>
        </w:tc>
        <w:tc>
          <w:tcPr>
            <w:tcW w:w="154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r>
      <w:tr w:rsidR="00990C61" w:rsidRPr="00990C61" w:rsidTr="00990C61">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AIVd2</w:t>
            </w:r>
          </w:p>
        </w:tc>
        <w:tc>
          <w:tcPr>
            <w:tcW w:w="2740" w:type="dxa"/>
            <w:vMerge/>
            <w:tcBorders>
              <w:top w:val="nil"/>
              <w:left w:val="single" w:sz="4" w:space="0" w:color="auto"/>
              <w:bottom w:val="single" w:sz="4" w:space="0" w:color="000000"/>
              <w:right w:val="single" w:sz="4" w:space="0" w:color="auto"/>
            </w:tcBorders>
            <w:vAlign w:val="center"/>
            <w:hideMark/>
          </w:tcPr>
          <w:p w:rsidR="00990C61" w:rsidRPr="00990C61" w:rsidRDefault="00990C61" w:rsidP="00990C61">
            <w:pPr>
              <w:spacing w:after="0" w:line="240" w:lineRule="auto"/>
              <w:rPr>
                <w:rFonts w:ascii="Times New Roman" w:eastAsia="Times New Roman" w:hAnsi="Times New Roman" w:cs="Times New Roman"/>
                <w:color w:val="FF0000"/>
                <w:sz w:val="20"/>
                <w:szCs w:val="20"/>
                <w:lang w:eastAsia="id-ID"/>
              </w:rPr>
            </w:pPr>
          </w:p>
        </w:tc>
        <w:tc>
          <w:tcPr>
            <w:tcW w:w="154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AIVe1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mekanisme pengaduan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AIVe2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resolusi konflik dan penyelesaian sengketa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di dalam Perda yang terkait dengan mekanisme resolusi konflik dan penyelesaian sengketa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AIVe3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Mediator memiliki keahlian dan pemahaman tentang isu-isu adat/masyarakat lokal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mediator memiliki keahlian dan pemahaman tentang isu-isu adat/masyarakat lokal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AIVe4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mekanisme pengawasan eksternal atas kinerja penegak hukum dalam menindaklanjuti pengaduan masyarakat</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3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V. Pengorganisasian Hutan</w:t>
            </w: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SK Menhut/Gub/Bu</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AVa1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dalam Perda yang terkait dengan ketersediaan seluruh informasi secara sistematis dalam kaitannya dengan pengawasan internal dan eksternal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5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AVa2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aturan yang mewajibkan pemberian akses bagi publik baik secara proaktif maupun berdasarkan permintaan dalam tahap pengawasan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AVa3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didalam Perda terkait dengan batasan atas informasi yang dapat diakses diatur dengan jelas dan didasarkan pada kepentingan publik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AVa4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lokal baik itu Perda, Perbub, SK Bupati, Juklak-Juknis yang terkait dengan sanksi bagi pihak-pihak yang sengaja menghambat akses publik atas informasi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Per/SK menhut/Gub/Bup</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AVb1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aturan di dalam Perda yang terkait dengan informasi pelaksanaan kegiatan untuk memperjelas masukan publik atas suatu kasus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AVb2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Juklak-Juknis yang terkait dengan mekanisme penerimaan pengaduan memudahkan bagi seluruh pihak untuk menyampaikan pengaduan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AVb3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Dokumentasi setiap laporan pengaduan baik yang tertulis ataupun tidak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dokumentasi setiap laporan pengaduan baik yang tertulis maupun tidak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AVb4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terkait dengan mekanisme penerimaan pengaduan memiliki jangka waktu yang jelas atas respon yang akan diberikan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AVb5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di dalam Perda yang terkait dengan mekanisme penerimaan pengaduan menawarkan kemudahan dan kejelasan pihak yang dikontak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AVb6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 lokal di dalam Perda yang terkait dengan penunjukkan satu petugas khusus yang bertanggung jawab mengelola masukan publik dalam proses pengawasan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990C61">
              <w:rPr>
                <w:rFonts w:ascii="Times New Roman" w:eastAsia="Times New Roman" w:hAnsi="Times New Roman" w:cs="Times New Roman"/>
                <w:b/>
                <w:bCs/>
                <w:color w:val="000000"/>
                <w:sz w:val="20"/>
                <w:szCs w:val="20"/>
                <w:lang w:eastAsia="id-ID"/>
              </w:rPr>
              <w:br/>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AVc1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xml:space="preserve">Tidak ada dokumen. Pada sebagian masyarakat adat terdapat kearifan lokal yang memang menekankan untuk menjaga keseimbangan lingkungan sehingga masyarakat tidak melakukan eksploitasi sesuka hatinya.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AVc2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aturannya makanya anggarannya tidak ada</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990C61">
              <w:rPr>
                <w:rFonts w:ascii="Times New Roman" w:eastAsia="Times New Roman" w:hAnsi="Times New Roman" w:cs="Times New Roman"/>
                <w:b/>
                <w:bCs/>
                <w:color w:val="000000"/>
                <w:sz w:val="20"/>
                <w:szCs w:val="20"/>
                <w:lang w:eastAsia="id-ID"/>
              </w:rPr>
              <w:br/>
            </w:r>
            <w:r w:rsidRPr="00990C61">
              <w:rPr>
                <w:rFonts w:ascii="Times New Roman" w:eastAsia="Times New Roman" w:hAnsi="Times New Roman" w:cs="Times New Roman"/>
                <w:b/>
                <w:bCs/>
                <w:color w:val="000000"/>
                <w:sz w:val="20"/>
                <w:szCs w:val="20"/>
                <w:lang w:eastAsia="id-ID"/>
              </w:rPr>
              <w:br/>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AVd1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Pelaksanaan perbaikan sistem secara partisipatif dari rekomendasi BPK dan KPK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Dokumen yang ada di instansi tersebut tidak saya dapatkan karena merupakan dokumen yang sangat rahasia bagi mereka setelah saya menemui penanggung jawab inspektorat Tanjabar ( Johanes chan )</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6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990C61">
              <w:rPr>
                <w:rFonts w:ascii="Times New Roman" w:eastAsia="Times New Roman" w:hAnsi="Times New Roman" w:cs="Times New Roman"/>
                <w:b/>
                <w:bCs/>
                <w:color w:val="000000"/>
                <w:sz w:val="20"/>
                <w:szCs w:val="20"/>
                <w:lang w:eastAsia="id-ID"/>
              </w:rPr>
              <w:br/>
            </w:r>
            <w:r w:rsidRPr="00990C61">
              <w:rPr>
                <w:rFonts w:ascii="Times New Roman" w:eastAsia="Times New Roman" w:hAnsi="Times New Roman" w:cs="Times New Roman"/>
                <w:b/>
                <w:bCs/>
                <w:color w:val="000000"/>
                <w:sz w:val="20"/>
                <w:szCs w:val="20"/>
                <w:lang w:eastAsia="id-ID"/>
              </w:rPr>
              <w:br/>
            </w:r>
            <w:r w:rsidRPr="00990C61">
              <w:rPr>
                <w:rFonts w:ascii="Times New Roman" w:eastAsia="Times New Roman" w:hAnsi="Times New Roman" w:cs="Times New Roman"/>
                <w:b/>
                <w:bCs/>
                <w:color w:val="000000"/>
                <w:sz w:val="20"/>
                <w:szCs w:val="20"/>
                <w:lang w:eastAsia="id-ID"/>
              </w:rPr>
              <w:br/>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aturan KLH-kehutanan (satgas illegal loging)</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AVe1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yang terkait dengan pendekatan multi door approacah</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3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IV. Infrastruktur REDD+</w:t>
            </w: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765"/>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990C61" w:rsidRPr="00990C61" w:rsidTr="00990C61">
        <w:trPr>
          <w:trHeight w:val="39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(UKP4, Permenhut, Perda/SK Gub/Bup)</w:t>
            </w:r>
            <w:r w:rsidRPr="00990C61">
              <w:rPr>
                <w:rFonts w:ascii="Times New Roman" w:eastAsia="Times New Roman" w:hAnsi="Times New Roman" w:cs="Times New Roman"/>
                <w:b/>
                <w:bCs/>
                <w:color w:val="000000"/>
                <w:sz w:val="20"/>
                <w:szCs w:val="20"/>
                <w:lang w:eastAsia="id-ID"/>
              </w:rPr>
              <w:br/>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AVIa1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terkait REDD di Tanjabar dikarenakan lembaga REDD itu sendiri memang belum terbentuk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AVIa2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menjeaskan kewajiban agar badan publik memiliki petugas khusus yang menangani permintaan informasi publik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AVIa3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pemberian akses bagi publik baik secara proaktif maupun berdasarkan permintaan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AVIa4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tentang batasan informasi yang dapat diakses</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AVIa5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sanksi bagi pihak-pihak yang sengaja menghambat akses publik atas informasi</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765"/>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5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AVIb1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terkait penyampaian  informasi atas rencana pembentukan peraturan/kebijakan terkait REDD+ kepada seluruh pihak yg memiliki hak serta pihak yg berkepentingan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AVIb2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terkait mekanisme yang memudahkan bagi seluruh pihak yang berkepentingan untuk dapat terlibat dalam proses pengambilan keputusan</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AVIb3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terkait penunjukan satu petugas khusus yang bertanggungjawab mengelola masukan publik dalam proses pembentukan kebijakan terkait REDD+;</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AVIb4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Dokumentasi setiap masukan baik yang tertulis ataupun tidak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tentang dokumentasi setiap masukan baik yang tertulis ataupun tidak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51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AVIb5</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mengenai pemberian respon yang bersifat terbuka atas setiap masukan yang ada (metode umpan balik)</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AVIb6</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Penjelasan atas keputusan akhir yang diambil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terkait penjelasan atas keputusan akhir yang diambil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AVIb7</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pelaksanakan seluruh proses partisipasi dalam waktu yang cukup, (minimum 45 hari kerja)</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765"/>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229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AVIc1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terkait mekanisme pengaduan masyarakat yang memudahkan bagi seluruh pihak (termasuk competitors) untuk menyampaikan pengaduan dan mendapatkan kejelasan tindakan yang telah diambil atas pengaduan yang disampaikan dalam jangka waktu yang jelas</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AVIc2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terkait mekanisme resolusi konflik dan penyelesaian sengketa melalui jalur perundingan apabila terdapat perbedaan pandangan yg tajam atas suatu hal</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AVIc3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Jasa mediator yang memiliki keahlian dan pemahaman tentang isu-isu adat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Tidaknya ada dokumen terkait jasa mediator yang memiliki keahlian dan pemahaman tentang isu-isu adat</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990C61">
              <w:rPr>
                <w:rFonts w:ascii="Times New Roman" w:eastAsia="Times New Roman" w:hAnsi="Times New Roman" w:cs="Times New Roman"/>
                <w:b/>
                <w:bCs/>
                <w:color w:val="000000"/>
                <w:sz w:val="20"/>
                <w:szCs w:val="20"/>
                <w:lang w:eastAsia="id-ID"/>
              </w:rPr>
              <w:br/>
              <w:t xml:space="preserve"> </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lastRenderedPageBreak/>
              <w:t>AVId1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terkait REDD di Tanjadi karenakan lembaga REDD itu sendiri memang belum terbentuk di kabupaten Tanjabar</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AVId2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terkait REDD di Tanjadi karenakan lembaga REDD itu sendiri memang belum terbentuk di kabupaten Tanjabar</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93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990C61">
              <w:rPr>
                <w:rFonts w:ascii="Times New Roman" w:eastAsia="Times New Roman" w:hAnsi="Times New Roman" w:cs="Times New Roman"/>
                <w:b/>
                <w:bCs/>
                <w:color w:val="000000"/>
                <w:sz w:val="20"/>
                <w:szCs w:val="20"/>
                <w:lang w:eastAsia="id-ID"/>
              </w:rPr>
              <w:br/>
              <w:t xml:space="preserve"> </w:t>
            </w:r>
            <w:r w:rsidRPr="00990C61">
              <w:rPr>
                <w:rFonts w:ascii="Times New Roman" w:eastAsia="Times New Roman" w:hAnsi="Times New Roman" w:cs="Times New Roman"/>
                <w:b/>
                <w:bCs/>
                <w:color w:val="000000"/>
                <w:sz w:val="20"/>
                <w:szCs w:val="20"/>
                <w:lang w:eastAsia="id-ID"/>
              </w:rPr>
              <w:br/>
              <w:t xml:space="preserve"> </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AVIe1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Pelaksanaan perbaikan sistem berdasarkan rekomendasi BPK secara partisipatif</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terkait pelaksanaan perbaikan sistem berdasarkan rekomendasi BPK secara partisipatif</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255"/>
        </w:trPr>
        <w:tc>
          <w:tcPr>
            <w:tcW w:w="76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p>
        </w:tc>
      </w:tr>
      <w:tr w:rsidR="00990C61" w:rsidRPr="00990C61" w:rsidTr="00990C61">
        <w:trPr>
          <w:trHeight w:val="780"/>
        </w:trPr>
        <w:tc>
          <w:tcPr>
            <w:tcW w:w="3500" w:type="dxa"/>
            <w:gridSpan w:val="2"/>
            <w:tcBorders>
              <w:top w:val="nil"/>
              <w:left w:val="nil"/>
              <w:bottom w:val="nil"/>
              <w:right w:val="nil"/>
            </w:tcBorders>
            <w:shd w:val="clear" w:color="auto" w:fill="auto"/>
            <w:noWrap/>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990C61" w:rsidRPr="00990C61" w:rsidRDefault="00990C61" w:rsidP="00990C61">
            <w:pPr>
              <w:spacing w:after="24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990C61">
              <w:rPr>
                <w:rFonts w:ascii="Times New Roman" w:eastAsia="Times New Roman" w:hAnsi="Times New Roman" w:cs="Times New Roman"/>
                <w:b/>
                <w:bCs/>
                <w:color w:val="000000"/>
                <w:sz w:val="20"/>
                <w:szCs w:val="20"/>
                <w:lang w:eastAsia="id-ID"/>
              </w:rPr>
              <w:br/>
              <w:t xml:space="preserve"> </w:t>
            </w:r>
          </w:p>
        </w:tc>
      </w:tr>
      <w:tr w:rsidR="00990C61" w:rsidRPr="00990C61" w:rsidTr="00990C61">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b/>
                <w:bCs/>
                <w:color w:val="000000"/>
                <w:sz w:val="20"/>
                <w:szCs w:val="20"/>
                <w:lang w:eastAsia="id-ID"/>
              </w:rPr>
            </w:pPr>
            <w:r w:rsidRPr="00990C61">
              <w:rPr>
                <w:rFonts w:ascii="Times New Roman" w:eastAsia="Times New Roman" w:hAnsi="Times New Roman" w:cs="Times New Roman"/>
                <w:b/>
                <w:bCs/>
                <w:color w:val="000000"/>
                <w:sz w:val="20"/>
                <w:szCs w:val="20"/>
                <w:lang w:eastAsia="id-ID"/>
              </w:rPr>
              <w:t>Kategori Data</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AVIf1</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mekanisme pengaduan yang sederhana, memilik tenggat waktu yang jelas serta kejelasan tindakan yang telah diambil</w:t>
            </w:r>
          </w:p>
        </w:tc>
        <w:tc>
          <w:tcPr>
            <w:tcW w:w="1920" w:type="dxa"/>
            <w:tcBorders>
              <w:top w:val="nil"/>
              <w:left w:val="nil"/>
              <w:bottom w:val="single" w:sz="4" w:space="0" w:color="auto"/>
              <w:right w:val="single" w:sz="4" w:space="0" w:color="auto"/>
            </w:tcBorders>
            <w:shd w:val="clear" w:color="auto" w:fill="auto"/>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AVIf2</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yang mengatur mengenai mekanisme resolusi konflik dan penyelesaian sengketa melalui jalur perundingan</w:t>
            </w:r>
          </w:p>
        </w:tc>
        <w:tc>
          <w:tcPr>
            <w:tcW w:w="1920" w:type="dxa"/>
            <w:tcBorders>
              <w:top w:val="nil"/>
              <w:left w:val="nil"/>
              <w:bottom w:val="single" w:sz="4" w:space="0" w:color="auto"/>
              <w:right w:val="single" w:sz="4" w:space="0" w:color="auto"/>
            </w:tcBorders>
            <w:shd w:val="clear" w:color="auto" w:fill="auto"/>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2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AVIf3</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5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adanya dokumen yang mewajibkan mediator yang disediakan untuk memiliki keahlian dan pemahaman tentang isu-isu adat/masyarakat lokal</w:t>
            </w:r>
          </w:p>
        </w:tc>
        <w:tc>
          <w:tcPr>
            <w:tcW w:w="192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r w:rsidR="00990C61" w:rsidRPr="00990C61" w:rsidTr="00990C61">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AVIf4</w:t>
            </w:r>
          </w:p>
        </w:tc>
        <w:tc>
          <w:tcPr>
            <w:tcW w:w="2740" w:type="dxa"/>
            <w:tcBorders>
              <w:top w:val="nil"/>
              <w:left w:val="nil"/>
              <w:bottom w:val="single" w:sz="4" w:space="0" w:color="auto"/>
              <w:right w:val="single" w:sz="4" w:space="0" w:color="auto"/>
            </w:tcBorders>
            <w:shd w:val="clear" w:color="auto" w:fill="auto"/>
            <w:vAlign w:val="center"/>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54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990C61" w:rsidRPr="00990C61" w:rsidRDefault="00990C61" w:rsidP="00990C61">
            <w:pPr>
              <w:spacing w:after="0" w:line="240" w:lineRule="auto"/>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Tidak ada dokumen yang mengatur mekanisme pengawasan eksternal atas kinerja penegak hukum dalam menindaklanjuti pengaduan masyarakat</w:t>
            </w:r>
          </w:p>
        </w:tc>
        <w:tc>
          <w:tcPr>
            <w:tcW w:w="1920" w:type="dxa"/>
            <w:tcBorders>
              <w:top w:val="nil"/>
              <w:left w:val="nil"/>
              <w:bottom w:val="single" w:sz="4" w:space="0" w:color="auto"/>
              <w:right w:val="single" w:sz="4" w:space="0" w:color="auto"/>
            </w:tcBorders>
            <w:shd w:val="clear" w:color="auto" w:fill="auto"/>
            <w:noWrap/>
            <w:vAlign w:val="center"/>
            <w:hideMark/>
          </w:tcPr>
          <w:p w:rsidR="00990C61" w:rsidRPr="00990C61" w:rsidRDefault="00990C61" w:rsidP="00990C61">
            <w:pPr>
              <w:spacing w:after="0" w:line="240" w:lineRule="auto"/>
              <w:jc w:val="center"/>
              <w:rPr>
                <w:rFonts w:ascii="Times New Roman" w:eastAsia="Times New Roman" w:hAnsi="Times New Roman" w:cs="Times New Roman"/>
                <w:color w:val="000000"/>
                <w:sz w:val="20"/>
                <w:szCs w:val="20"/>
                <w:lang w:eastAsia="id-ID"/>
              </w:rPr>
            </w:pPr>
            <w:r w:rsidRPr="00990C61">
              <w:rPr>
                <w:rFonts w:ascii="Times New Roman" w:eastAsia="Times New Roman" w:hAnsi="Times New Roman" w:cs="Times New Roman"/>
                <w:color w:val="000000"/>
                <w:sz w:val="20"/>
                <w:szCs w:val="20"/>
                <w:lang w:eastAsia="id-ID"/>
              </w:rPr>
              <w:t>1</w:t>
            </w:r>
          </w:p>
        </w:tc>
      </w:tr>
    </w:tbl>
    <w:p w:rsidR="00990C61" w:rsidRDefault="00990C61"/>
    <w:sectPr w:rsidR="00990C6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A3AC7"/>
    <w:rsid w:val="0026067C"/>
    <w:rsid w:val="004165D1"/>
    <w:rsid w:val="006E5970"/>
    <w:rsid w:val="00990C61"/>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990C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id-ID"/>
    </w:rPr>
  </w:style>
  <w:style w:type="paragraph" w:customStyle="1" w:styleId="xl90">
    <w:name w:val="xl90"/>
    <w:basedOn w:val="Normal"/>
    <w:rsid w:val="00990C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1">
    <w:name w:val="xl91"/>
    <w:basedOn w:val="Normal"/>
    <w:rsid w:val="00990C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id-ID"/>
    </w:rPr>
  </w:style>
  <w:style w:type="paragraph" w:customStyle="1" w:styleId="xl92">
    <w:name w:val="xl92"/>
    <w:basedOn w:val="Normal"/>
    <w:rsid w:val="00990C6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3">
    <w:name w:val="xl93"/>
    <w:basedOn w:val="Normal"/>
    <w:rsid w:val="00990C6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4">
    <w:name w:val="xl94"/>
    <w:basedOn w:val="Normal"/>
    <w:rsid w:val="00990C61"/>
    <w:pP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id-ID"/>
    </w:rPr>
  </w:style>
  <w:style w:type="paragraph" w:customStyle="1" w:styleId="xl95">
    <w:name w:val="xl95"/>
    <w:basedOn w:val="Normal"/>
    <w:rsid w:val="00990C6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343166766">
      <w:bodyDiv w:val="1"/>
      <w:marLeft w:val="0"/>
      <w:marRight w:val="0"/>
      <w:marTop w:val="0"/>
      <w:marBottom w:val="0"/>
      <w:divBdr>
        <w:top w:val="none" w:sz="0" w:space="0" w:color="auto"/>
        <w:left w:val="none" w:sz="0" w:space="0" w:color="auto"/>
        <w:bottom w:val="none" w:sz="0" w:space="0" w:color="auto"/>
        <w:right w:val="none" w:sz="0" w:space="0" w:color="auto"/>
      </w:divBdr>
    </w:div>
    <w:div w:id="213813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4738</Words>
  <Characters>27012</Characters>
  <Application>Microsoft Office Word</Application>
  <DocSecurity>0</DocSecurity>
  <Lines>225</Lines>
  <Paragraphs>63</Paragraphs>
  <ScaleCrop>false</ScaleCrop>
  <Company/>
  <LinksUpToDate>false</LinksUpToDate>
  <CharactersWithSpaces>31687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2012-10-16T08:21:00Z</dcterms:modified>
</cp:coreProperties>
</file>